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CF" w:rsidRPr="00974C1C" w:rsidRDefault="00EA4BCF" w:rsidP="00EA4BCF">
      <w:pPr>
        <w:widowControl/>
        <w:wordWrap w:val="0"/>
        <w:jc w:val="left"/>
        <w:outlineLvl w:val="0"/>
        <w:rPr>
          <w:rFonts w:ascii="微软雅黑" w:eastAsia="宋体" w:hAnsi="微软雅黑" w:cs="宋体"/>
          <w:b/>
          <w:color w:val="000000" w:themeColor="text1"/>
          <w:kern w:val="36"/>
          <w:sz w:val="24"/>
          <w:szCs w:val="24"/>
        </w:rPr>
      </w:pPr>
      <w:r w:rsidRPr="00974C1C">
        <w:rPr>
          <w:rFonts w:ascii="微软雅黑" w:eastAsia="宋体" w:hAnsi="微软雅黑" w:cs="宋体"/>
          <w:b/>
          <w:color w:val="000000" w:themeColor="text1"/>
          <w:kern w:val="36"/>
          <w:sz w:val="24"/>
          <w:szCs w:val="24"/>
        </w:rPr>
        <w:t>一般说明</w:t>
      </w:r>
    </w:p>
    <w:p w:rsidR="00EA4BCF" w:rsidRPr="00974C1C" w:rsidRDefault="00EA4BCF" w:rsidP="00EA4BCF">
      <w:pPr>
        <w:widowControl/>
        <w:wordWrap w:val="0"/>
        <w:jc w:val="left"/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</w:pPr>
      <w:r w:rsidRPr="00974C1C"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  <w:t>浏览量</w:t>
      </w:r>
      <w:r w:rsidRPr="00974C1C"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  <w:t>:</w:t>
      </w:r>
    </w:p>
    <w:p w:rsidR="00EA4BCF" w:rsidRPr="00974C1C" w:rsidRDefault="00EA4BCF" w:rsidP="00EA4BCF">
      <w:pPr>
        <w:widowControl/>
        <w:wordWrap w:val="0"/>
        <w:jc w:val="left"/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</w:pPr>
      <w:r w:rsidRPr="00974C1C"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  <w:t>5311</w:t>
      </w:r>
    </w:p>
    <w:p w:rsidR="00EA4BCF" w:rsidRPr="000D1380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1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）本公司制造的所有塑封高压二极管（高压硅堆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/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硅粒子）、普通整流二极管外形均采用圆柱形管体，双端轴向引出线</w:t>
      </w:r>
      <w:r w:rsidRPr="000D1380">
        <w:rPr>
          <w:rFonts w:ascii="微软雅黑" w:eastAsia="宋体" w:hAnsi="微软雅黑" w:cs="宋体"/>
          <w:kern w:val="0"/>
          <w:szCs w:val="21"/>
        </w:rPr>
        <w:t>（</w:t>
      </w:r>
      <w:r w:rsidR="0005569A" w:rsidRPr="000D1380">
        <w:rPr>
          <w:rFonts w:ascii="微软雅黑" w:eastAsia="宋体" w:hAnsi="微软雅黑" w:cs="宋体"/>
          <w:kern w:val="0"/>
          <w:szCs w:val="21"/>
        </w:rPr>
        <w:t>贴片高压二极管除外</w:t>
      </w:r>
      <w:r w:rsidRPr="000D1380">
        <w:rPr>
          <w:rFonts w:ascii="微软雅黑" w:eastAsia="宋体" w:hAnsi="微软雅黑" w:cs="宋体"/>
          <w:kern w:val="0"/>
          <w:szCs w:val="21"/>
        </w:rPr>
        <w:t>），如下图所示。</w:t>
      </w:r>
    </w:p>
    <w:p w:rsidR="00EA4BCF" w:rsidRPr="000D1380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kern w:val="0"/>
          <w:szCs w:val="21"/>
        </w:rPr>
      </w:pPr>
      <w:r w:rsidRPr="000D1380">
        <w:rPr>
          <w:rFonts w:ascii="微软雅黑" w:eastAsia="宋体" w:hAnsi="微软雅黑" w:cs="宋体"/>
          <w:kern w:val="0"/>
          <w:szCs w:val="21"/>
        </w:rPr>
        <w:t> </w:t>
      </w:r>
    </w:p>
    <w:p w:rsidR="00EA4BCF" w:rsidRPr="00974C1C" w:rsidRDefault="00EA4BCF" w:rsidP="00EA4BCF">
      <w:pPr>
        <w:widowControl/>
        <w:spacing w:line="450" w:lineRule="atLeast"/>
        <w:jc w:val="center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 w:hint="eastAsia"/>
          <w:noProof/>
          <w:color w:val="000000" w:themeColor="text1"/>
          <w:kern w:val="0"/>
          <w:szCs w:val="21"/>
        </w:rPr>
        <w:drawing>
          <wp:inline distT="0" distB="0" distL="0" distR="0">
            <wp:extent cx="5181600" cy="1524000"/>
            <wp:effectExtent l="0" t="0" r="0" b="0"/>
            <wp:docPr id="1" name="140" descr="皋鑫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" descr="皋鑫电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BCF" w:rsidRPr="00974C1C" w:rsidRDefault="00EA4BCF" w:rsidP="00EA4BCF">
      <w:pPr>
        <w:widowControl/>
        <w:spacing w:line="450" w:lineRule="atLeast"/>
        <w:jc w:val="center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各型号产品的具体尺寸见各自规格表，单位为毫米（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mm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）。</w:t>
      </w: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 2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）联接器与包装</w:t>
      </w: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 xml:space="preserve">　　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(1)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微波炉用产品可应客户要求，加装指定规格、品牌的连接器（端子）。</w:t>
      </w:r>
    </w:p>
    <w:p w:rsidR="00EA4BCF" w:rsidRPr="00974C1C" w:rsidRDefault="00974C1C" w:rsidP="00974C1C">
      <w:pPr>
        <w:widowControl/>
        <w:spacing w:line="450" w:lineRule="atLeast"/>
        <w:jc w:val="center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 w:hint="eastAsia"/>
          <w:noProof/>
          <w:color w:val="000000" w:themeColor="text1"/>
          <w:kern w:val="0"/>
          <w:szCs w:val="21"/>
        </w:rPr>
        <w:drawing>
          <wp:inline distT="0" distB="0" distL="0" distR="0">
            <wp:extent cx="2867025" cy="2150269"/>
            <wp:effectExtent l="0" t="0" r="0" b="2540"/>
            <wp:docPr id="2" name="141" descr="皋鑫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" descr="皋鑫电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897" cy="216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BCF" w:rsidRPr="00974C1C" w:rsidRDefault="00EA4BCF" w:rsidP="00974C1C">
      <w:pPr>
        <w:widowControl/>
        <w:spacing w:line="450" w:lineRule="atLeast"/>
        <w:jc w:val="center"/>
        <w:rPr>
          <w:rFonts w:ascii="微软雅黑" w:eastAsia="宋体" w:hAnsi="微软雅黑" w:cs="宋体"/>
          <w:color w:val="000000" w:themeColor="text1"/>
          <w:kern w:val="0"/>
          <w:szCs w:val="21"/>
        </w:rPr>
      </w:pP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 xml:space="preserve">　　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(2)</w:t>
      </w:r>
      <w:r w:rsidR="0005569A" w:rsidRPr="0005569A">
        <w:rPr>
          <w:rFonts w:ascii="微软雅黑" w:eastAsia="宋体" w:hAnsi="微软雅黑" w:cs="宋体"/>
          <w:color w:val="000000" w:themeColor="text1"/>
          <w:kern w:val="0"/>
          <w:szCs w:val="21"/>
        </w:rPr>
        <w:t xml:space="preserve"> </w:t>
      </w:r>
      <w:proofErr w:type="gramStart"/>
      <w:r w:rsidR="0005569A" w:rsidRPr="0005569A">
        <w:rPr>
          <w:rFonts w:ascii="微软雅黑" w:eastAsia="宋体" w:hAnsi="微软雅黑" w:cs="宋体"/>
          <w:color w:val="FF0000"/>
          <w:kern w:val="0"/>
          <w:szCs w:val="21"/>
        </w:rPr>
        <w:t>高频</w:t>
      </w:r>
      <w:r w:rsidRPr="0005569A">
        <w:rPr>
          <w:rFonts w:ascii="微软雅黑" w:eastAsia="宋体" w:hAnsi="微软雅黑" w:cs="宋体"/>
          <w:color w:val="FF0000"/>
          <w:kern w:val="0"/>
          <w:szCs w:val="21"/>
        </w:rPr>
        <w:t>小</w:t>
      </w:r>
      <w:proofErr w:type="gramEnd"/>
      <w:r w:rsidRPr="0005569A">
        <w:rPr>
          <w:rFonts w:ascii="微软雅黑" w:eastAsia="宋体" w:hAnsi="微软雅黑" w:cs="宋体"/>
          <w:color w:val="FF0000"/>
          <w:kern w:val="0"/>
          <w:szCs w:val="21"/>
        </w:rPr>
        <w:t>体积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系列产品和普通整流二极管产品可选择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“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编带（链式）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”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包装方式。</w:t>
      </w:r>
    </w:p>
    <w:p w:rsidR="00EA4BCF" w:rsidRPr="00974C1C" w:rsidRDefault="00EA4BCF" w:rsidP="00EA4BCF">
      <w:pPr>
        <w:widowControl/>
        <w:spacing w:line="450" w:lineRule="atLeast"/>
        <w:jc w:val="center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 </w:t>
      </w:r>
      <w:r w:rsidRPr="00974C1C">
        <w:rPr>
          <w:rFonts w:ascii="微软雅黑" w:eastAsia="宋体" w:hAnsi="微软雅黑" w:cs="宋体" w:hint="eastAsia"/>
          <w:noProof/>
          <w:color w:val="000000" w:themeColor="text1"/>
          <w:kern w:val="0"/>
          <w:szCs w:val="21"/>
        </w:rPr>
        <w:drawing>
          <wp:inline distT="0" distB="0" distL="0" distR="0">
            <wp:extent cx="5172075" cy="1930650"/>
            <wp:effectExtent l="0" t="0" r="0" b="0"/>
            <wp:docPr id="3" name="142" descr="皋鑫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" descr="皋鑫电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10" cy="19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lastRenderedPageBreak/>
        <w:t> </w:t>
      </w: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3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）除本网站给出的产品规格表列出的产品外，在具有适当的批量时，可根据客户要求提供整流器定制产品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(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定制内容可包括产品的特性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,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外型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,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包装等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)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。</w:t>
      </w: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 </w:t>
      </w: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4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）规格表中各项参数符号的意义如下表所示。</w:t>
      </w: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999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5032"/>
      </w:tblGrid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符号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意义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V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RRM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反向重复峰值电压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I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F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(AV)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正向平均电流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I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FSM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正向（不重复）浪涌电流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I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RSM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反向（不重复）浪涌电流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TJ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有效结温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T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stg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贮存温度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Ta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环境温度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V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F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正向直流电压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V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R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反向直流电压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I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F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正向直流电流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I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RM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反向恢复峰值电流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trr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反向恢复时间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I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R1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（常温）反向直流电流</w:t>
            </w:r>
          </w:p>
        </w:tc>
      </w:tr>
      <w:tr w:rsidR="00974C1C" w:rsidRPr="00974C1C" w:rsidTr="00EA4BCF">
        <w:trPr>
          <w:trHeight w:val="450"/>
          <w:tblCellSpacing w:w="7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V</w:t>
            </w: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  <w:vertAlign w:val="subscript"/>
              </w:rPr>
              <w:t>（BR）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A4BCF" w:rsidRPr="00974C1C" w:rsidRDefault="00EA4BCF" w:rsidP="00EA4BCF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974C1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反向击穿电压</w:t>
            </w:r>
          </w:p>
        </w:tc>
      </w:tr>
    </w:tbl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 </w:t>
      </w:r>
    </w:p>
    <w:p w:rsidR="00EA4BCF" w:rsidRPr="00974C1C" w:rsidRDefault="00EA4BCF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 *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等同采用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GB/T 11499-2001</w:t>
      </w:r>
      <w:r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《半导体分立器件文字符号》</w:t>
      </w:r>
    </w:p>
    <w:p w:rsidR="00EA4BCF" w:rsidRPr="00974C1C" w:rsidRDefault="000D1380" w:rsidP="00EA4BCF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5</w:t>
      </w:r>
      <w:r w:rsidR="00EA4BCF"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）具体产品规格请至页面左侧</w:t>
      </w:r>
      <w:r w:rsidR="00EA4BCF"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“</w:t>
      </w:r>
      <w:r w:rsidR="00EA4BCF"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产品</w:t>
      </w:r>
      <w:r>
        <w:rPr>
          <w:rFonts w:ascii="微软雅黑" w:eastAsia="宋体" w:hAnsi="微软雅黑" w:cs="宋体" w:hint="eastAsia"/>
          <w:color w:val="000000" w:themeColor="text1"/>
          <w:kern w:val="0"/>
          <w:szCs w:val="21"/>
        </w:rPr>
        <w:t>中心</w:t>
      </w:r>
      <w:r w:rsidR="00EA4BCF"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”</w:t>
      </w:r>
      <w:r w:rsidR="00EA4BCF" w:rsidRPr="00974C1C">
        <w:rPr>
          <w:rFonts w:ascii="微软雅黑" w:eastAsia="宋体" w:hAnsi="微软雅黑" w:cs="宋体"/>
          <w:color w:val="000000" w:themeColor="text1"/>
          <w:kern w:val="0"/>
          <w:szCs w:val="21"/>
        </w:rPr>
        <w:t>栏下查看。</w:t>
      </w:r>
    </w:p>
    <w:p w:rsidR="00EA4BCF" w:rsidRPr="000D1380" w:rsidRDefault="00EA4BCF">
      <w:pPr>
        <w:rPr>
          <w:color w:val="000000" w:themeColor="text1"/>
        </w:rPr>
      </w:pPr>
      <w:bookmarkStart w:id="0" w:name="_GoBack"/>
      <w:bookmarkEnd w:id="0"/>
    </w:p>
    <w:sectPr w:rsidR="00EA4BCF" w:rsidRPr="000D1380" w:rsidSect="00EA4BCF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BCF"/>
    <w:rsid w:val="0005569A"/>
    <w:rsid w:val="000D1380"/>
    <w:rsid w:val="002863B9"/>
    <w:rsid w:val="00974C1C"/>
    <w:rsid w:val="00E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44DA"/>
  <w15:docId w15:val="{D14CEFEB-CB07-4FE5-88CF-C2F995E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69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55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1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9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0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8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2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72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42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30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51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96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6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18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1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53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36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84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08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6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09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34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chen</dc:creator>
  <cp:keywords/>
  <dc:description/>
  <cp:lastModifiedBy>jian chen</cp:lastModifiedBy>
  <cp:revision>5</cp:revision>
  <dcterms:created xsi:type="dcterms:W3CDTF">2023-04-11T02:10:00Z</dcterms:created>
  <dcterms:modified xsi:type="dcterms:W3CDTF">2023-06-16T08:12:00Z</dcterms:modified>
</cp:coreProperties>
</file>